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E3B62E"/>
          <w:spacing w:val="0"/>
          <w:position w:val="0"/>
          <w:sz w:val="22"/>
          <w:shd w:fill="800000" w:val="clear"/>
        </w:rPr>
      </w:pPr>
      <w:r>
        <w:rPr>
          <w:rFonts w:ascii="Times New Roman" w:hAnsi="Times New Roman" w:cs="Times New Roman" w:eastAsia="Times New Roman"/>
          <w:color w:val="E3B62E"/>
          <w:spacing w:val="0"/>
          <w:position w:val="0"/>
          <w:sz w:val="22"/>
          <w:shd w:fill="800000" w:val="clear"/>
        </w:rPr>
        <w:t xml:space="preserve">Uprava prihoda i carina</w:t>
        <w:br/>
        <w:t xml:space="preserve">Crne Gore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E2BA3E"/>
          <w:spacing w:val="0"/>
          <w:position w:val="0"/>
          <w:sz w:val="22"/>
          <w:shd w:fill="800000" w:val="clear"/>
        </w:rPr>
      </w:pPr>
      <w:r>
        <w:rPr>
          <w:rFonts w:ascii="Times New Roman" w:hAnsi="Times New Roman" w:cs="Times New Roman" w:eastAsia="Times New Roman"/>
          <w:b/>
          <w:i/>
          <w:color w:val="E2BA3E"/>
          <w:spacing w:val="0"/>
          <w:position w:val="0"/>
          <w:sz w:val="22"/>
          <w:shd w:fill="800000" w:val="clear"/>
        </w:rPr>
        <w:t xml:space="preserve">Portal ePrijava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800000" w:val="clear"/>
        </w:rPr>
      </w:pPr>
      <w:r>
        <w:rPr>
          <w:rFonts w:ascii="Times New Roman" w:hAnsi="Times New Roman" w:cs="Times New Roman" w:eastAsia="Times New Roman"/>
          <w:color w:val="E2BA3E"/>
          <w:spacing w:val="0"/>
          <w:position w:val="0"/>
          <w:sz w:val="22"/>
          <w:shd w:fill="800000" w:val="clear"/>
        </w:rPr>
        <w:t xml:space="preserve">20170305.1 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800000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E2BA3E"/>
          <w:spacing w:val="0"/>
          <w:position w:val="0"/>
          <w:sz w:val="22"/>
          <w:shd w:fill="800000" w:val="clear"/>
        </w:rPr>
      </w:pPr>
      <w:r>
        <w:rPr>
          <w:rFonts w:ascii="Times New Roman" w:hAnsi="Times New Roman" w:cs="Times New Roman" w:eastAsia="Times New Roman"/>
          <w:color w:val="E2BA3E"/>
          <w:spacing w:val="0"/>
          <w:position w:val="0"/>
          <w:sz w:val="22"/>
          <w:shd w:fill="800000" w:val="clear"/>
        </w:rPr>
        <w:t xml:space="preserve">FINANSIJSKI ISKAZI 2022 77181/2022</w:t>
      </w:r>
    </w:p>
    <w:tbl>
      <w:tblPr/>
      <w:tblGrid>
        <w:gridCol w:w="2662"/>
        <w:gridCol w:w="2662"/>
        <w:gridCol w:w="2663"/>
        <w:gridCol w:w="2663"/>
      </w:tblGrid>
      <w:tr>
        <w:trPr>
          <w:trHeight w:val="1" w:hRule="atLeast"/>
          <w:jc w:val="left"/>
        </w:trPr>
        <w:tc>
          <w:tcPr>
            <w:tcW w:w="2662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Godina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662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Od datuma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01.01.2022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Do datuma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31.12.2022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Broj zahtjeva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77181/2022</w:t>
            </w:r>
          </w:p>
        </w:tc>
      </w:tr>
      <w:tr>
        <w:trPr>
          <w:trHeight w:val="1" w:hRule="atLeast"/>
          <w:jc w:val="left"/>
        </w:trPr>
        <w:tc>
          <w:tcPr>
            <w:tcW w:w="10650" w:type="dxa"/>
            <w:gridSpan w:val="4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Naziv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ORGANIZACIJA SLIJEPIH BIJELO POLJE I MOJKOVAC</w:t>
            </w:r>
          </w:p>
        </w:tc>
      </w:tr>
      <w:tr>
        <w:trPr>
          <w:trHeight w:val="1" w:hRule="atLeast"/>
          <w:jc w:val="left"/>
        </w:trPr>
        <w:tc>
          <w:tcPr>
            <w:tcW w:w="10650" w:type="dxa"/>
            <w:gridSpan w:val="4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Sjedi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ŠOVA BB , BIJELO POLJE, CRNA GORA</w:t>
            </w:r>
          </w:p>
        </w:tc>
      </w:tr>
      <w:tr>
        <w:trPr>
          <w:trHeight w:val="1" w:hRule="atLeast"/>
          <w:jc w:val="left"/>
        </w:trPr>
        <w:tc>
          <w:tcPr>
            <w:tcW w:w="5324" w:type="dxa"/>
            <w:gridSpan w:val="2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</w:t>
            </w:r>
          </w:p>
        </w:tc>
        <w:tc>
          <w:tcPr>
            <w:tcW w:w="2663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3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2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Šifra djelatnosti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9499</w:t>
            </w:r>
          </w:p>
        </w:tc>
        <w:tc>
          <w:tcPr>
            <w:tcW w:w="2662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čni broj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02021102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Tip promjene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Nema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Konsolidovani iskaz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Ne</w:t>
            </w:r>
          </w:p>
        </w:tc>
      </w:tr>
      <w:tr>
        <w:trPr>
          <w:trHeight w:val="1" w:hRule="atLeast"/>
          <w:jc w:val="left"/>
        </w:trPr>
        <w:tc>
          <w:tcPr>
            <w:tcW w:w="5324" w:type="dxa"/>
            <w:gridSpan w:val="2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Naziv lica koje je sastavilo iskaz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Mirko Ko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čović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JMBG-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e-mail-</w:t>
            </w:r>
          </w:p>
        </w:tc>
      </w:tr>
      <w:tr>
        <w:trPr>
          <w:trHeight w:val="1" w:hRule="atLeast"/>
          <w:jc w:val="left"/>
        </w:trPr>
        <w:tc>
          <w:tcPr>
            <w:tcW w:w="5324" w:type="dxa"/>
            <w:gridSpan w:val="2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Ime ovla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šćenog lica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Vuko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Prezime ovla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šćenog lica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Potpara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JMBG-</w:t>
            </w:r>
          </w:p>
        </w:tc>
      </w:tr>
      <w:tr>
        <w:trPr>
          <w:trHeight w:val="1" w:hRule="atLeast"/>
          <w:jc w:val="left"/>
        </w:trPr>
        <w:tc>
          <w:tcPr>
            <w:tcW w:w="5324" w:type="dxa"/>
            <w:gridSpan w:val="2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za iskaz o tokovima gotovine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DirektnaMetoda</w:t>
            </w:r>
          </w:p>
        </w:tc>
        <w:tc>
          <w:tcPr>
            <w:tcW w:w="5326" w:type="dxa"/>
            <w:gridSpan w:val="2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sastavljanja iskaza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26.03.2023</w:t>
            </w:r>
          </w:p>
        </w:tc>
      </w:tr>
    </w:tbl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inherit" w:hAnsi="inherit" w:cs="inherit" w:eastAsia="inherit"/>
          <w:color w:val="F5F5F5"/>
          <w:spacing w:val="0"/>
          <w:position w:val="0"/>
          <w:sz w:val="22"/>
          <w:shd w:fill="FFFFFF" w:val="clear"/>
        </w:rPr>
      </w:pPr>
      <w:r>
        <w:rPr>
          <w:rFonts w:ascii="inherit" w:hAnsi="inherit" w:cs="inherit" w:eastAsia="inherit"/>
          <w:color w:val="F5F5F5"/>
          <w:spacing w:val="0"/>
          <w:position w:val="0"/>
          <w:sz w:val="22"/>
          <w:shd w:fill="FFFFFF" w:val="clear"/>
        </w:rPr>
        <w:t xml:space="preserve">Bilans stanja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inherit" w:hAnsi="inherit" w:cs="inherit" w:eastAsia="inherit"/>
          <w:color w:val="000000"/>
          <w:spacing w:val="0"/>
          <w:position w:val="0"/>
          <w:sz w:val="22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22"/>
          <w:shd w:fill="FFFFFF" w:val="clear"/>
        </w:rPr>
        <w:t xml:space="preserve">Bilans uspjeha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</w:pPr>
      <w:r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  <w:t xml:space="preserve">Tokovi got.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</w:pPr>
      <w:r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  <w:t xml:space="preserve">Promjene na kap.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Calibri" w:hAnsi="Calibri" w:cs="Calibri" w:eastAsia="Calibri"/>
          <w:color w:val="F5F5F5"/>
          <w:spacing w:val="0"/>
          <w:position w:val="0"/>
          <w:sz w:val="18"/>
          <w:shd w:fill="FFFFFF" w:val="clear"/>
        </w:rPr>
      </w:pPr>
      <w:r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  <w:t xml:space="preserve">Statisti</w:t>
      </w:r>
      <w:r>
        <w:rPr>
          <w:rFonts w:ascii="Calibri" w:hAnsi="Calibri" w:cs="Calibri" w:eastAsia="Calibri"/>
          <w:color w:val="F5F5F5"/>
          <w:spacing w:val="0"/>
          <w:position w:val="0"/>
          <w:sz w:val="18"/>
          <w:shd w:fill="FFFFFF" w:val="clear"/>
        </w:rPr>
        <w:t xml:space="preserve">čki aneks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Calibri" w:hAnsi="Calibri" w:cs="Calibri" w:eastAsia="Calibri"/>
          <w:color w:val="F5F5F5"/>
          <w:spacing w:val="0"/>
          <w:position w:val="0"/>
          <w:sz w:val="18"/>
          <w:shd w:fill="FFFFFF" w:val="clear"/>
        </w:rPr>
      </w:pPr>
      <w:r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  <w:t xml:space="preserve">Obra</w:t>
      </w:r>
      <w:r>
        <w:rPr>
          <w:rFonts w:ascii="Calibri" w:hAnsi="Calibri" w:cs="Calibri" w:eastAsia="Calibri"/>
          <w:color w:val="F5F5F5"/>
          <w:spacing w:val="0"/>
          <w:position w:val="0"/>
          <w:sz w:val="18"/>
          <w:shd w:fill="FFFFFF" w:val="clear"/>
        </w:rPr>
        <w:t xml:space="preserve">čun amort.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</w:pPr>
      <w:r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  <w:t xml:space="preserve">Napomene</w:t>
      </w:r>
    </w:p>
    <w:p>
      <w:pPr>
        <w:spacing w:before="100" w:after="100" w:line="240"/>
        <w:ind w:right="0" w:left="0" w:firstLine="0"/>
        <w:jc w:val="center"/>
        <w:rPr>
          <w:rFonts w:ascii="inherit" w:hAnsi="inherit" w:cs="inherit" w:eastAsia="inherit"/>
          <w:b/>
          <w:color w:val="787878"/>
          <w:spacing w:val="0"/>
          <w:position w:val="0"/>
          <w:sz w:val="22"/>
          <w:shd w:fill="FFFFFF" w:val="clear"/>
        </w:rPr>
      </w:pPr>
      <w:r>
        <w:rPr>
          <w:rFonts w:ascii="inherit" w:hAnsi="inherit" w:cs="inherit" w:eastAsia="inherit"/>
          <w:b/>
          <w:color w:val="787878"/>
          <w:spacing w:val="0"/>
          <w:position w:val="0"/>
          <w:sz w:val="22"/>
          <w:shd w:fill="FFFFFF" w:val="clear"/>
        </w:rPr>
        <w:t xml:space="preserve">ISKAZ I UKUPNOM REZULTATU /BILANS USPJEHA/</w:t>
      </w:r>
    </w:p>
    <w:p>
      <w:pPr>
        <w:spacing w:before="0" w:after="72" w:line="240"/>
        <w:ind w:right="0" w:left="0" w:firstLine="0"/>
        <w:jc w:val="center"/>
        <w:rPr>
          <w:rFonts w:ascii="Calibri" w:hAnsi="Calibri" w:cs="Calibri" w:eastAsia="Calibri"/>
          <w:color w:val="787878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787878"/>
          <w:spacing w:val="0"/>
          <w:position w:val="0"/>
          <w:sz w:val="22"/>
          <w:shd w:fill="FFFFFF" w:val="clear"/>
        </w:rPr>
        <w:t xml:space="preserve">ŠTAMPA</w:t>
      </w:r>
    </w:p>
    <w:tbl>
      <w:tblPr/>
      <w:tblGrid>
        <w:gridCol w:w="1615"/>
        <w:gridCol w:w="5552"/>
        <w:gridCol w:w="633"/>
        <w:gridCol w:w="1075"/>
        <w:gridCol w:w="767"/>
        <w:gridCol w:w="1060"/>
      </w:tblGrid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dcdcdc" w:sz="6"/>
            </w:tcBorders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Grupa ra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čuna, račun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dcdcdc" w:sz="6"/>
            </w:tcBorders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Pozicija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dcdcdc" w:sz="6"/>
            </w:tcBorders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Redni Broj</w:t>
            </w:r>
          </w:p>
        </w:tc>
        <w:tc>
          <w:tcPr>
            <w:tcW w:w="1075" w:type="dxa"/>
            <w:tcBorders>
              <w:top w:val="single" w:color="000000" w:sz="4"/>
              <w:left w:val="single" w:color="dcdcdc" w:sz="6"/>
              <w:bottom w:val="single" w:color="dcdcdc" w:sz="6"/>
              <w:right w:val="single" w:color="dcdcdc" w:sz="6"/>
            </w:tcBorders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Napomena</w:t>
            </w: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dcdcdc" w:sz="6"/>
            </w:tcBorders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Teku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ća godina</w:t>
            </w:r>
          </w:p>
        </w:tc>
        <w:tc>
          <w:tcPr>
            <w:tcW w:w="1060" w:type="dxa"/>
            <w:tcBorders>
              <w:top w:val="single" w:color="000000" w:sz="4"/>
              <w:left w:val="single" w:color="dcdcdc" w:sz="6"/>
              <w:bottom w:val="single" w:color="dcdcdc" w:sz="6"/>
              <w:right w:val="single" w:color="000000" w:sz="4"/>
            </w:tcBorders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Prethodna godina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 i 61</w:t>
            </w:r>
          </w:p>
        </w:tc>
        <w:tc>
          <w:tcPr>
            <w:tcW w:w="5552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Prihodi od prodaje - neto prihod</w:t>
            </w:r>
          </w:p>
        </w:tc>
        <w:tc>
          <w:tcPr>
            <w:tcW w:w="633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</w:t>
            </w:r>
          </w:p>
        </w:tc>
        <w:tc>
          <w:tcPr>
            <w:tcW w:w="107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630 i 631</w:t>
            </w:r>
          </w:p>
        </w:tc>
        <w:tc>
          <w:tcPr>
            <w:tcW w:w="5552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Promjena vrijednosti zaliha gotovih proizvoda i nedovr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šene proizvodnje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5552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 Prihodi od aktiviranja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činaka i robe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203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 Ostali prihodi iz poslovanja (205 do 207)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204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21522</w:t>
            </w: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19496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64 i 65</w:t>
            </w:r>
          </w:p>
        </w:tc>
        <w:tc>
          <w:tcPr>
            <w:tcW w:w="5552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Ostali prihodi iz redovnog poslovanja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205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15979</w:t>
            </w: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19496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67, 691 i 692</w:t>
            </w:r>
          </w:p>
        </w:tc>
        <w:tc>
          <w:tcPr>
            <w:tcW w:w="5552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b) Ostali prihodi iz poslovanja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206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5543</w:t>
            </w: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 sem 683 i 685</w:t>
            </w:r>
          </w:p>
        </w:tc>
        <w:tc>
          <w:tcPr>
            <w:tcW w:w="5552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c) Prihodi po osnovu vrijednosnog uskla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đivanja imovine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207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 Tro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škovi poslovanja (209+210+210a)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208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5575</w:t>
            </w: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10731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 i 51</w:t>
            </w:r>
          </w:p>
        </w:tc>
        <w:tc>
          <w:tcPr>
            <w:tcW w:w="5552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Nabavna vrijednost prodate robe i tro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škovi materijala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209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657</w:t>
            </w: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1985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53, 54 (dio) i 55</w:t>
            </w:r>
          </w:p>
        </w:tc>
        <w:tc>
          <w:tcPr>
            <w:tcW w:w="5552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b) Ostali tro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škovi poslovanja (rezervisanja i ostali poslovni rashodi)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4918</w:t>
            </w: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8746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540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c) Amortizacija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210a</w:t>
            </w:r>
          </w:p>
        </w:tc>
        <w:tc>
          <w:tcPr>
            <w:tcW w:w="107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7" w:hRule="auto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 Tro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škovi zarada, naknada zarada i ostali lični rashodi (212+213)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211</w:t>
            </w:r>
          </w:p>
        </w:tc>
        <w:tc>
          <w:tcPr>
            <w:tcW w:w="1075" w:type="dxa"/>
            <w:tcBorders>
              <w:top w:val="single" w:color="000000" w:sz="4"/>
              <w:left w:val="single" w:color="f5f5f5" w:sz="6"/>
              <w:bottom w:val="single" w:color="dcdcdc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15947</w:t>
            </w: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dcdcdc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8011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 (dio)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Neto tro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škovi zarada, naknada zarada i lični rashodi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212</w:t>
            </w:r>
          </w:p>
        </w:tc>
        <w:tc>
          <w:tcPr>
            <w:tcW w:w="107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13110</w:t>
            </w: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6413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b) Tro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škovi poreza i doprinosa (214 do 216)</w:t>
            </w:r>
          </w:p>
        </w:tc>
        <w:tc>
          <w:tcPr>
            <w:tcW w:w="633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213</w:t>
            </w:r>
          </w:p>
        </w:tc>
        <w:tc>
          <w:tcPr>
            <w:tcW w:w="1075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2837</w:t>
            </w:r>
          </w:p>
        </w:tc>
        <w:tc>
          <w:tcPr>
            <w:tcW w:w="1060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1598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 (dio)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1/ Tro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škovi poreza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214</w:t>
            </w:r>
          </w:p>
        </w:tc>
        <w:tc>
          <w:tcPr>
            <w:tcW w:w="107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503</w:t>
            </w: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602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 (dio)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2/ Tro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škovi doprinosa za penzije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215</w:t>
            </w:r>
          </w:p>
        </w:tc>
        <w:tc>
          <w:tcPr>
            <w:tcW w:w="107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2238</w:t>
            </w: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574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 (dio)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3/ Tro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škovi doprinosa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216</w:t>
            </w:r>
          </w:p>
        </w:tc>
        <w:tc>
          <w:tcPr>
            <w:tcW w:w="107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422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 Rashodi po osnovu vrijednosnog uskla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đivanja imovine (osim finansijske) (218+219)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217</w:t>
            </w:r>
          </w:p>
        </w:tc>
        <w:tc>
          <w:tcPr>
            <w:tcW w:w="107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580, 581, 582, 589(dio)</w:t>
            </w: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Rashodi po osnovu vrijednosnog uskla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đivanja stalne imovine (osim finansijske)</w:t>
            </w:r>
          </w:p>
        </w:tc>
        <w:tc>
          <w:tcPr>
            <w:tcW w:w="633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218</w:t>
            </w:r>
          </w:p>
        </w:tc>
        <w:tc>
          <w:tcPr>
            <w:tcW w:w="1075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584, 589(dio)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b) Rashodi po osnovu vrijednosnog uskla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đivanja obrtne imovine (osim finansijske)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219</w:t>
            </w:r>
          </w:p>
        </w:tc>
        <w:tc>
          <w:tcPr>
            <w:tcW w:w="107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57, 591 i 592</w:t>
            </w: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 Ostali rashodi iz poslovanja</w:t>
            </w:r>
          </w:p>
        </w:tc>
        <w:tc>
          <w:tcPr>
            <w:tcW w:w="633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220</w:t>
            </w:r>
          </w:p>
        </w:tc>
        <w:tc>
          <w:tcPr>
            <w:tcW w:w="1075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754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I. Poslovni rezultat (201+202+203+204-208-211-217-220)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221</w:t>
            </w:r>
          </w:p>
        </w:tc>
        <w:tc>
          <w:tcPr>
            <w:tcW w:w="107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 Prihodi po osnovu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češća u kapitalu (223 do 225)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222</w:t>
            </w:r>
          </w:p>
        </w:tc>
        <w:tc>
          <w:tcPr>
            <w:tcW w:w="107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660 (dio)</w:t>
            </w: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Prihodi po osnovu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češća u kapitalu zavisnih pravnih lica</w:t>
            </w:r>
          </w:p>
        </w:tc>
        <w:tc>
          <w:tcPr>
            <w:tcW w:w="633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223</w:t>
            </w:r>
          </w:p>
        </w:tc>
        <w:tc>
          <w:tcPr>
            <w:tcW w:w="1075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661 (dio)</w:t>
            </w: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b) Prihodi po osnovu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češća u kapitalu ostalih povezanih pravnih lica</w:t>
            </w:r>
          </w:p>
        </w:tc>
        <w:tc>
          <w:tcPr>
            <w:tcW w:w="633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224</w:t>
            </w:r>
          </w:p>
        </w:tc>
        <w:tc>
          <w:tcPr>
            <w:tcW w:w="1075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669 (dio)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c) Prihodi po osnovu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češća u kapitalu nepovezanih pravnih lica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225</w:t>
            </w:r>
          </w:p>
        </w:tc>
        <w:tc>
          <w:tcPr>
            <w:tcW w:w="107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 Prihodi od ostalih finansijskih ulaganja i zajmova (kamate, kursne razlike i efekti ugovorene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štite) (227 do 229)</w:t>
            </w:r>
          </w:p>
        </w:tc>
        <w:tc>
          <w:tcPr>
            <w:tcW w:w="633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226</w:t>
            </w:r>
          </w:p>
        </w:tc>
        <w:tc>
          <w:tcPr>
            <w:tcW w:w="107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660 (dio)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Prihodi od ostalih finansijskih ulaganja i zajmova od mati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čnog i zavisnih pravnih lica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227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661 (dio)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b) Prihodi od ostalih finansijskih ulaganja i zajmova od ostalih povezanih pravnih lica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228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662 (dio),663 (dio),664 (dio),669 (dio)</w:t>
            </w: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c) Prihodi od ostalih finansijskih ulaganja i zajmova od nepovezanih pravnih lica</w:t>
            </w:r>
          </w:p>
        </w:tc>
        <w:tc>
          <w:tcPr>
            <w:tcW w:w="633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229</w:t>
            </w:r>
          </w:p>
        </w:tc>
        <w:tc>
          <w:tcPr>
            <w:tcW w:w="107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 Ostali prihodi po osnovu kamata, kursnih razlika i drugih efekata ugovorene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 (231 do 233)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230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660 (dio)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Finansijski prihodi po osnovu teku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ćih potraživanja od matičnog i zavisnih pravnih lica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231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661 (dio)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b) Finansijski prihodi po osnovu teku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ćih potraživanja od ostalih povezanih pravnih lica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232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662 (dio),663 (dio),664 (dio),669 (dio)</w:t>
            </w:r>
          </w:p>
        </w:tc>
        <w:tc>
          <w:tcPr>
            <w:tcW w:w="5552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c) Finansijski prihodi po osnovu teku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ćih potraživanja od nepovezanih pravnih lica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233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 Vrijednosno uskla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đivanje kratkoročnih finansijskih sredstava i finansijskih ulaganja koji su dio obrtne imovine (235-236)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234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683, 685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Prihodi po osnovu vrijednosnog uskla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đivanja kratkoročnih finansijskih sredstava i finansijskih ulaganja koji su dio obrtne imovine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235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583, 585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b) Rashodi po osnovu vrijednosnog uskla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đivanja kratkoročnih finansijskih sredstava i finansijskih ulaganja koji su dio obrtne imovine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236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 Rashodi po osnovu kamata, kursnih razlika i drugih efekata ugovorene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 (238 do 240)</w:t>
            </w:r>
          </w:p>
        </w:tc>
        <w:tc>
          <w:tcPr>
            <w:tcW w:w="633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237</w:t>
            </w:r>
          </w:p>
        </w:tc>
        <w:tc>
          <w:tcPr>
            <w:tcW w:w="107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a) Rashodi po osnovu kamata, kursnih razlika i drugih efekata ugovorene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 po osnovu odnosa sa matičnim i zavisnim pravnim licima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238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561</w:t>
            </w: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b) Rashodi po osnovu kamata, kursnih razlika i drugih efekata ugovorene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 po osnovu odnosa sa drugim povezanim licima</w:t>
            </w:r>
          </w:p>
        </w:tc>
        <w:tc>
          <w:tcPr>
            <w:tcW w:w="633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239</w:t>
            </w:r>
          </w:p>
        </w:tc>
        <w:tc>
          <w:tcPr>
            <w:tcW w:w="107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562, 563, 564, 569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c) Rashodi po osnovu kamata, kursnih razlika i drugih efekata ugovorene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 po osnovu odnosa sa nepovezanim licima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240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II. Finansijski rezultat (222+226+230+234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237)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241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III. Rezultat iz redovnog poslovanja prije oporezivanja (221+241)</w:t>
            </w:r>
          </w:p>
        </w:tc>
        <w:tc>
          <w:tcPr>
            <w:tcW w:w="633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242</w:t>
            </w:r>
          </w:p>
        </w:tc>
        <w:tc>
          <w:tcPr>
            <w:tcW w:w="107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060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590</w:t>
            </w: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IV. Neto rezultat poslovanja koje je obustavljeno</w:t>
            </w:r>
          </w:p>
        </w:tc>
        <w:tc>
          <w:tcPr>
            <w:tcW w:w="633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243</w:t>
            </w:r>
          </w:p>
        </w:tc>
        <w:tc>
          <w:tcPr>
            <w:tcW w:w="107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V. Rezultat prije oporezivanja (242+243)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 Poreski rashod perioda (246+247)</w:t>
            </w:r>
          </w:p>
        </w:tc>
        <w:tc>
          <w:tcPr>
            <w:tcW w:w="633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245</w:t>
            </w:r>
          </w:p>
        </w:tc>
        <w:tc>
          <w:tcPr>
            <w:tcW w:w="107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721</w:t>
            </w: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Teku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ći porez na dobit</w:t>
            </w:r>
          </w:p>
        </w:tc>
        <w:tc>
          <w:tcPr>
            <w:tcW w:w="633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246</w:t>
            </w:r>
          </w:p>
        </w:tc>
        <w:tc>
          <w:tcPr>
            <w:tcW w:w="107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722</w:t>
            </w: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Odlo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ženi poreski rashodi ili prihodi perioda</w:t>
            </w:r>
          </w:p>
        </w:tc>
        <w:tc>
          <w:tcPr>
            <w:tcW w:w="63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247</w:t>
            </w:r>
          </w:p>
        </w:tc>
        <w:tc>
          <w:tcPr>
            <w:tcW w:w="107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 Dobitak ili gubitak nakon oporezivanja (244-245)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248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VI. Bruto rezultat drugih stavki rezultata /povezanih sa kapitalom / (250 do 257)</w:t>
            </w:r>
          </w:p>
        </w:tc>
        <w:tc>
          <w:tcPr>
            <w:tcW w:w="63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249</w:t>
            </w:r>
          </w:p>
        </w:tc>
        <w:tc>
          <w:tcPr>
            <w:tcW w:w="107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330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Promjene revalorizacionih rezervi po osnovu nekretnina, postrojenja, opreme, nematerijalnih ulaganja i biolo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ških sredstava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331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Promjene nerealizovanih dobitaka i gubitaka po osnovu prera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čuna finansijskih izvještaja inostranog poslovanja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251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332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 Promjene nerealizovanih dobitaka i gubitaka po osnovu ulaganja u vlasni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čke instrumente kapitala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252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333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 Promjene aktuarskih dobitaka i gubitaka po osnovu planova definisanih naknada aktuarskih dobitaka (ili gubitaka) u vezi sa definisanim planovima penzionih naknada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253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334</w:t>
            </w: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 Promjene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češća u ostalom sveobuhvatnom rezultatu pridruženog društva</w:t>
            </w:r>
          </w:p>
        </w:tc>
        <w:tc>
          <w:tcPr>
            <w:tcW w:w="63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254</w:t>
            </w:r>
          </w:p>
        </w:tc>
        <w:tc>
          <w:tcPr>
            <w:tcW w:w="107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335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 Promjene nerealizovanih dobitaka i gubitaka po osnovu instrumenata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 neto ulaganja u inostrano poslovanje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255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336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 Promjene revalorizacionih rezervi po osnovu hed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žinga tokova gotovine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256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337</w:t>
            </w: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 Ostale promjene nerealizovanih dobitaka i gubitaka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257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VII. Odlo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ženi poreski rashodi ili prihodi perioda u vezi sa drugim stavkama rezultata /povezanim sa kapitalom/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258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VIII. Neto rezultat drugih stavki rezultata povezanih sa kapitalom/ (249-258)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259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IX. Neto sveobuhvatni rezultat (248+259)</w:t>
            </w:r>
          </w:p>
        </w:tc>
        <w:tc>
          <w:tcPr>
            <w:tcW w:w="63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260</w:t>
            </w:r>
          </w:p>
        </w:tc>
        <w:tc>
          <w:tcPr>
            <w:tcW w:w="107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060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X. Zarada po akciji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261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Osnovna zarada po akciji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262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Umanjena (razvodnjena) zarada po akciji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263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XI. Neto rezultat koji pripada vlasnicima mati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čnog pravnog lica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264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XII. Neto rezultat koji pripada 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češćima koji ne obezbjeđuju kontrolu</w:t>
            </w:r>
          </w:p>
        </w:tc>
        <w:tc>
          <w:tcPr>
            <w:tcW w:w="633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265</w:t>
            </w:r>
          </w:p>
        </w:tc>
        <w:tc>
          <w:tcPr>
            <w:tcW w:w="10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dcdcdc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</w:p>
        </w:tc>
        <w:tc>
          <w:tcPr>
            <w:tcW w:w="1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Obrazac uskla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đen sa članom 4. Zakona o računovodstvu (“Sl. List CG” broj 052/16) I DIREKTIVOM 2013/34/EU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EVROPSKOG PARLAMENTA I VIJE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U_________________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Datum prijema    26.03.2023.                       Lice odgovorno za sastavljanje                                      Odgovorno lice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Datum obrade     26.03.2023.                                  Finansijskog iskaza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Datum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štampe    12.04.2023.                                       Mirko Kočović                                                     Vuko Potpara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