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E3B62E"/>
          <w:spacing w:val="0"/>
          <w:position w:val="0"/>
          <w:sz w:val="33"/>
          <w:shd w:fill="800000" w:val="clear"/>
        </w:rPr>
      </w:pPr>
      <w:r>
        <w:rPr>
          <w:rFonts w:ascii="Arial" w:hAnsi="Arial" w:cs="Arial" w:eastAsia="Arial"/>
          <w:color w:val="E3B62E"/>
          <w:spacing w:val="0"/>
          <w:position w:val="0"/>
          <w:sz w:val="33"/>
          <w:shd w:fill="800000" w:val="clear"/>
        </w:rPr>
        <w:t xml:space="preserve">Uprava prihoda i carina</w:t>
        <w:br/>
        <w:t xml:space="preserve">Crne Gore</w:t>
      </w:r>
    </w:p>
    <w:p>
      <w:pPr>
        <w:keepNext w:val="true"/>
        <w:keepLines w:val="true"/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E2BA3E"/>
          <w:spacing w:val="0"/>
          <w:position w:val="0"/>
          <w:sz w:val="36"/>
          <w:shd w:fill="800000" w:val="clear"/>
        </w:rPr>
      </w:pPr>
      <w:r>
        <w:rPr>
          <w:rFonts w:ascii="Calibri Light" w:hAnsi="Calibri Light" w:cs="Calibri Light" w:eastAsia="Calibri Light"/>
          <w:i/>
          <w:color w:val="E2BA3E"/>
          <w:spacing w:val="0"/>
          <w:position w:val="0"/>
          <w:sz w:val="36"/>
          <w:shd w:fill="800000" w:val="clear"/>
        </w:rPr>
        <w:t xml:space="preserve">Portal ePrijava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800000"/>
          <w:spacing w:val="0"/>
          <w:position w:val="0"/>
          <w:sz w:val="18"/>
          <w:shd w:fill="800000" w:val="clear"/>
        </w:rPr>
      </w:pPr>
      <w:r>
        <w:rPr>
          <w:rFonts w:ascii="Arial" w:hAnsi="Arial" w:cs="Arial" w:eastAsia="Arial"/>
          <w:color w:val="E2BA3E"/>
          <w:spacing w:val="0"/>
          <w:position w:val="0"/>
          <w:sz w:val="15"/>
          <w:shd w:fill="800000" w:val="clear"/>
        </w:rPr>
        <w:t xml:space="preserve">20170305.1 </w:t>
      </w:r>
      <w:r>
        <w:rPr>
          <w:rFonts w:ascii="Arial" w:hAnsi="Arial" w:cs="Arial" w:eastAsia="Arial"/>
          <w:color w:val="800000"/>
          <w:spacing w:val="0"/>
          <w:position w:val="0"/>
          <w:sz w:val="18"/>
          <w:shd w:fill="800000" w:val="clear"/>
        </w:rPr>
        <w:t xml:space="preserve"> Naslovna Download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E2BA3E"/>
          <w:spacing w:val="0"/>
          <w:position w:val="0"/>
          <w:sz w:val="27"/>
          <w:shd w:fill="800000" w:val="clear"/>
        </w:rPr>
      </w:pPr>
      <w:r>
        <w:rPr>
          <w:rFonts w:ascii="Arial" w:hAnsi="Arial" w:cs="Arial" w:eastAsia="Arial"/>
          <w:color w:val="E2BA3E"/>
          <w:spacing w:val="0"/>
          <w:position w:val="0"/>
          <w:sz w:val="27"/>
          <w:shd w:fill="800000" w:val="clear"/>
        </w:rPr>
        <w:t xml:space="preserve">FINANSIJSKI ISKAZI 2022 77181/2022</w:t>
      </w:r>
    </w:p>
    <w:tbl>
      <w:tblPr/>
      <w:tblGrid>
        <w:gridCol w:w="2662"/>
        <w:gridCol w:w="2662"/>
        <w:gridCol w:w="2663"/>
        <w:gridCol w:w="2663"/>
      </w:tblGrid>
      <w:tr>
        <w:trPr>
          <w:trHeight w:val="1" w:hRule="atLeast"/>
          <w:jc w:val="left"/>
        </w:trPr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Godina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 datuma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01.01.2022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 datuma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31.12.2022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Broj zahtjeva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77181/2022</w:t>
            </w:r>
          </w:p>
        </w:tc>
      </w:tr>
      <w:tr>
        <w:trPr>
          <w:trHeight w:val="1" w:hRule="atLeast"/>
          <w:jc w:val="left"/>
        </w:trPr>
        <w:tc>
          <w:tcPr>
            <w:tcW w:w="10650" w:type="dxa"/>
            <w:gridSpan w:val="4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ORGANIZACIJA SLIJEPIH BIJELO POLJE I MOJKOVAC</w:t>
            </w:r>
          </w:p>
        </w:tc>
      </w:tr>
      <w:tr>
        <w:trPr>
          <w:trHeight w:val="1" w:hRule="atLeast"/>
          <w:jc w:val="left"/>
        </w:trPr>
        <w:tc>
          <w:tcPr>
            <w:tcW w:w="10650" w:type="dxa"/>
            <w:gridSpan w:val="4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Sjedi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ŠOVA BB , BIJELO POLJE, CRNA GORA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</w:t>
            </w:r>
          </w:p>
        </w:tc>
        <w:tc>
          <w:tcPr>
            <w:tcW w:w="2663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3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Šifra djelatnosti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9499</w:t>
            </w:r>
          </w:p>
        </w:tc>
        <w:tc>
          <w:tcPr>
            <w:tcW w:w="2662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broj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02021102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Tip promjene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Nema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Konsolidovani iskaz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Ne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Naziv lica koje je sastavilo iskaz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Mirko 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čović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JMBG-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e-mail-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Ime ovla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šćenog 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Vuko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Prezime ovla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šćenog lica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Potpara</w:t>
            </w:r>
          </w:p>
        </w:tc>
        <w:tc>
          <w:tcPr>
            <w:tcW w:w="2663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JMBG-</w:t>
            </w:r>
          </w:p>
        </w:tc>
      </w:tr>
      <w:tr>
        <w:trPr>
          <w:trHeight w:val="1" w:hRule="atLeast"/>
          <w:jc w:val="left"/>
        </w:trPr>
        <w:tc>
          <w:tcPr>
            <w:tcW w:w="5324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 iskaz o tokovima gotovine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DirektnaMetoda</w:t>
            </w:r>
          </w:p>
        </w:tc>
        <w:tc>
          <w:tcPr>
            <w:tcW w:w="5326" w:type="dxa"/>
            <w:gridSpan w:val="2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37" w:type="dxa"/>
              <w:right w:w="3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sastavljanja iskaza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26.03.2023</w:t>
            </w:r>
          </w:p>
        </w:tc>
      </w:tr>
    </w:tbl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000000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000000"/>
          <w:spacing w:val="0"/>
          <w:position w:val="0"/>
          <w:sz w:val="18"/>
          <w:shd w:fill="FFFFFF" w:val="clear"/>
        </w:rPr>
        <w:t xml:space="preserve">Bilans stanja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Bilans uspjeha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Tokovi got.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Promjene na kap.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Statisti</w:t>
      </w:r>
      <w:r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  <w:t xml:space="preserve">čki aneks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Obra</w:t>
      </w:r>
      <w:r>
        <w:rPr>
          <w:rFonts w:ascii="Calibri" w:hAnsi="Calibri" w:cs="Calibri" w:eastAsia="Calibri"/>
          <w:color w:val="F5F5F5"/>
          <w:spacing w:val="0"/>
          <w:position w:val="0"/>
          <w:sz w:val="18"/>
          <w:shd w:fill="FFFFFF" w:val="clear"/>
        </w:rPr>
        <w:t xml:space="preserve">čun amort.</w:t>
      </w:r>
    </w:p>
    <w:p>
      <w:pPr>
        <w:numPr>
          <w:ilvl w:val="0"/>
          <w:numId w:val="27"/>
        </w:numPr>
        <w:tabs>
          <w:tab w:val="left" w:pos="720" w:leader="none"/>
        </w:tabs>
        <w:spacing w:before="0" w:after="0" w:line="240"/>
        <w:ind w:right="-15" w:left="0" w:hanging="360"/>
        <w:jc w:val="center"/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</w:pPr>
      <w:r>
        <w:rPr>
          <w:rFonts w:ascii="inherit" w:hAnsi="inherit" w:cs="inherit" w:eastAsia="inherit"/>
          <w:color w:val="F5F5F5"/>
          <w:spacing w:val="0"/>
          <w:position w:val="0"/>
          <w:sz w:val="18"/>
          <w:shd w:fill="FFFFFF" w:val="clear"/>
        </w:rPr>
        <w:t xml:space="preserve">Napomene</w:t>
      </w:r>
    </w:p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b/>
          <w:color w:val="787878"/>
          <w:spacing w:val="0"/>
          <w:position w:val="0"/>
          <w:sz w:val="21"/>
          <w:shd w:fill="FFFFFF" w:val="clear"/>
        </w:rPr>
      </w:pPr>
      <w:r>
        <w:rPr>
          <w:rFonts w:ascii="inherit" w:hAnsi="inherit" w:cs="inherit" w:eastAsia="inherit"/>
          <w:b/>
          <w:color w:val="787878"/>
          <w:spacing w:val="0"/>
          <w:position w:val="0"/>
          <w:sz w:val="21"/>
          <w:shd w:fill="FFFFFF" w:val="clear"/>
        </w:rPr>
        <w:t xml:space="preserve">ISKAZ O FINANSIJSKOJ POZICIJI /BILANS STANJA/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787878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color w:val="787878"/>
          <w:spacing w:val="0"/>
          <w:position w:val="0"/>
          <w:sz w:val="18"/>
          <w:shd w:fill="FFFFFF" w:val="clear"/>
        </w:rPr>
        <w:t xml:space="preserve">ŠTAMPA</w:t>
      </w:r>
    </w:p>
    <w:tbl>
      <w:tblPr/>
      <w:tblGrid>
        <w:gridCol w:w="2919"/>
        <w:gridCol w:w="3329"/>
        <w:gridCol w:w="595"/>
        <w:gridCol w:w="1067"/>
        <w:gridCol w:w="714"/>
        <w:gridCol w:w="1034"/>
        <w:gridCol w:w="1044"/>
      </w:tblGrid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Grupa ra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čuna, račun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Pozicija</w:t>
            </w:r>
          </w:p>
        </w:tc>
        <w:tc>
          <w:tcPr>
            <w:tcW w:w="595" w:type="dxa"/>
            <w:tcBorders>
              <w:top w:val="single" w:color="000000" w:sz="4"/>
              <w:left w:val="single" w:color="dcdcdc" w:sz="6"/>
              <w:bottom w:val="single" w:color="dcdcdc" w:sz="6"/>
              <w:right w:val="single" w:color="000000" w:sz="4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Redni Broj</w:t>
            </w:r>
          </w:p>
        </w:tc>
        <w:tc>
          <w:tcPr>
            <w:tcW w:w="1067" w:type="dxa"/>
            <w:tcBorders>
              <w:top w:val="single" w:color="000000" w:sz="4"/>
              <w:left w:val="single" w:color="dcdcdc" w:sz="6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Napomena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Teku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ća godina</w:t>
            </w: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dcdcdc" w:sz="6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Prethodna godina - krajnje stanje</w:t>
            </w: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auto" w:fill="f5f5f5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Prethodna godina - po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četno stanje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K T I V 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 NEUPLA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ĆENI UPISANI KAPITAL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 STALNA IMOVINA(003+008+016 )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I. NEMATERIJALNA ULAGANJA (004 do 007)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003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010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Ulaganja u razvoj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004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011 i 014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Koncesije, patenti, licence i sli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prava i ostala nematerijalna ulaganja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012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Goodwill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006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016 i 015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Avansi za nematerijalna ulaganja i nematerijalna ulaganja u pripremi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007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II. NEKRETNINE, POSTROJENJA, OPREMA I BIOLO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ŠKA SREDSTVA (009+010+011+015)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008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020 i 022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Zemlji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šte i objekti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009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023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Postrojenja i oprema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010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Ostala ugra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đena oprema, alati i oprema (012+013+014)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011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024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3.1. Investicione nekretnine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012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021 i 025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3.2. Bilo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ška sredstva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013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026 i 029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3.3. Ostala nepomenuta materijalna stalna sredstva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014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028 i 027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Avansi za nekretnine, postrojenja, opremu i biolo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ška sredstva i nekretnine, postrojenja, oprema i biološka sredstva u pripremi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III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FINANSIJSKI PLASMANI I DUGOROČNA POTRAŽIVANJA (017 do 023)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016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030, 039(dio)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zavisnih pravnih lica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017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033(dio),039(dio)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krediti matičnom i zavisnim pravnim licima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018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031(dio),032(dio),039(dio)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kod pravnih lica (sem zavisnih pravnih lica)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019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033(dio),039(dio)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krediti pravnim licima kod kojih postoji učešće u kapitalu (sem zavisnih pravnih lica)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020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031(dio),032(dio)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češća u kapitalu koja se vrednuju metodom učešća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021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032(dio),034,035,036,039(dio)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finansijska ulaganja (dati krediti i hartije od vrijednosti)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022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038,039(dio)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 Ostali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finansijski plasmani i potraživanja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023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 ODLO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ŽENA PORESKA SREDSTVA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024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D. OBRTNA SREDSTVA (026+031+039+043+044)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025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I. ZALIHE (027 do 030)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026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Zalihe materijala (materijal za izradu, rezervni delovi, sitan inventar i auto gume)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027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Nedovr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šena proizvodnja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028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i 13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Gotovi proizvodi i roba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029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Dati avansi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030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II.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POTRAŽIVANJA (032 do 035)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031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202,203,209(dio)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od kupaca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032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200,209(dio)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od matičnog i zavisnih pravnih lica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033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201,209(dio)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od ostalih povezanih lica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034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Ostala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(036+037+038)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035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4.1.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za više plaćen porez na dobit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036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4.2.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 po osnovu poreza na dodatu vrijednost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037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21, 22,osim 223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4.3. Ostala nepomenuta potra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živanja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038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III.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FINANSIJSKI PLASMANI (040 do 042)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039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češće u kapitalu zavisnih pravnih lica namijenjeno trgovanju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040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Otkupljene sopstvene akcije i otkupljeni sopstveni udjeli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041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 osim 236(dio) i osim 237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Ostali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finansijski plasmani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042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IV. GOTOVINA NA 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ČUNIMA I U BLAGAJNI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043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V. STALNA SREDSTVA NAMIJENJENA PRODAJI I SREDSTVA POSLOVANJA KOJE JE OBUSTAVLJENO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044</w:t>
            </w:r>
          </w:p>
        </w:tc>
        <w:tc>
          <w:tcPr>
            <w:tcW w:w="1067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 osim 288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E. AKTIVNA VREMENSKA RAZGRANI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ČENJA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49" w:hRule="auto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F. UKUPNA AKTIVA (001+002+024+025+045)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046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dcdcdc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dcdcdc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PASIVA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 KAPITAL (102+103+104+105+111+116)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I. OSNOVNI KAPITAL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II. NEUPLA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ĆENI UPISANI KAPITAL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III. EMISIONA PREMIJA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IV. REZERVE (106+107+108+109-110)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Zakonske rezerve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322(dio)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Statutarne rezerve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322(dio)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Druge rezerve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i potr.saldo 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č. 331, 332, 333, 334, 335, 336 i 337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Pozitivne revalorizacione rezerve i nerealizovani dobici po osnovu finansijskih sredstava i drugih komponenti ostalog sveobuhvatnog rezultata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dugov.saldo 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č. 331, 332, 333, 334, 335, 336 i 337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Negativne revalorizacione rezerve i nerealizovani gubici po osnovu finansijskih sredstava i drugih komponenti ostalog sveobuhvatnog rezultata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VI. NERASPOREDJENI DOBITAK ILI GUBITAK (112+113-114-115)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Neraspore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đeni dobitak ranijih godina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Neraspore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đeni dobitak tekuće godine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Gubitak ranijih godina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Gubitak teku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će godine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VIII.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ČEŠĆE KOJE NE OBEZBJEĐUJE KONTROLU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REZERVISANJA I DUGOROČNE OBAVEZE (118+122)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REZERVISANJA (119 do 121)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404(dio)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Rezervisanja za naknade i druge beneficije zaposlenih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Rezervisanja za tro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škove u garantnom roku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40, sem 400 i 404</w:t>
            </w:r>
          </w:p>
        </w:tc>
        <w:tc>
          <w:tcPr>
            <w:tcW w:w="3329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Ostala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rezervisanja</w:t>
            </w:r>
          </w:p>
        </w:tc>
        <w:tc>
          <w:tcPr>
            <w:tcW w:w="595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OBAVEZE (123+124)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414, 415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krediti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 bez 414, 415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Ostale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obaveze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C. ODLO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ŽENE PORESKE OBAVEZE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495(dio)</w:t>
            </w: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D. DUGORO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ČNI ODLOŽENI PRIHODI I PRIMLJENE DONACIJE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E.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REZERVISANJA I KRATKOROČNE OBAVEZE (128+129)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ČNA REZERVISANJA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OBAVEZE (130 do 137)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422(dio), 423(dio), 424(dio), 425(dio),426 i 429(dio)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 Obaveze po osnovu kredita i zajmova od lica koja nisu kreditne institucije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422(dio), 423(dio), 424(dio), 425(dio) i 429(dio)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Obaveze po osnovu kredita od kreditnih institucija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Primljeni avansi, depoziti i kaucije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433, 434, 440-449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Obaveze prema dobavlja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čima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Obaveze po mjenicama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 i 431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 Obaveze prema mati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čnom i zavisnim pravnim licima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 i 432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 Obaveze prema ostalim povezanim licima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 Ostale obaveze iz poslovanja i ostale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obaveze (138 do 142)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439(dio)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8.1. Ostale obaveze iz poslovanja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 i 46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8.2. Ostale kratkoro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obaveze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1067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47,48 osim 481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8.3. Obaveze po osnovu poreza na dodatu vrijednost i ostalih javnih prihoda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</w:t>
            </w:r>
          </w:p>
        </w:tc>
        <w:tc>
          <w:tcPr>
            <w:tcW w:w="3329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8.4. Obaveze po osnovu poreza na dobit</w:t>
            </w:r>
          </w:p>
        </w:tc>
        <w:tc>
          <w:tcPr>
            <w:tcW w:w="595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1067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f5f5f5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f5f5f5" w:sz="6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8.5. Obaveze po osnovu sredstava namijenjenih prodaji i sredstava poslovanja koje je obustavljeno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490, 491, 494, 495(dio), 496, 497 i 499</w:t>
            </w: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F. PASIVNA VREMENSKA RAZGRANI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ČENJA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f5f5f5" w:sz="6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G. UKUPNA PASIVA (101+117+125+126+127+143)</w:t>
            </w:r>
          </w:p>
        </w:tc>
        <w:tc>
          <w:tcPr>
            <w:tcW w:w="595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f5f5f5" w:sz="6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7953</w:t>
            </w:r>
          </w:p>
        </w:tc>
        <w:tc>
          <w:tcPr>
            <w:tcW w:w="103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13496</w:t>
            </w:r>
          </w:p>
        </w:tc>
        <w:tc>
          <w:tcPr>
            <w:tcW w:w="1044" w:type="dxa"/>
            <w:tcBorders>
              <w:top w:val="single" w:color="000000" w:sz="4"/>
              <w:left w:val="single" w:color="f5f5f5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12871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Obrazac uskla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đen sa članom 4. Zakona o računovodstvu (“Sl. List CG” broj 052/16) I DIREKTIVOM 2013/34/EU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EVROPSKOG PARLAMENTA I VIJE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U_________________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prijema    26.03.2023.                       Lice odgovorno za sastavljanje                                      Odgovorno lice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obrade     26.03.2023.                                  Finansijskog iskaza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štampe    12.04.2023.                                      Mirko Kočović                                                      Vuko Potpara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